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95EA7E" w14:textId="5F5ADF56" w:rsidR="004A1772" w:rsidRDefault="00CC7706" w:rsidP="004A1772">
      <w:pPr>
        <w:tabs>
          <w:tab w:val="left" w:pos="810"/>
          <w:tab w:val="left" w:pos="900"/>
        </w:tabs>
        <w:spacing w:after="0"/>
        <w:outlineLvl w:val="0"/>
        <w:rPr>
          <w:lang w:val="en-GB"/>
        </w:rPr>
      </w:pPr>
      <w:r>
        <w:rPr>
          <w:noProof/>
          <w:lang w:val="es-ES" w:eastAsia="es-ES"/>
        </w:rPr>
        <w:drawing>
          <wp:inline distT="0" distB="0" distL="0" distR="0" wp14:anchorId="556FA083" wp14:editId="366D99EE">
            <wp:extent cx="5943600" cy="769175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2New.ai"/>
                    <pic:cNvPicPr/>
                  </pic:nvPicPr>
                  <pic:blipFill>
                    <a:blip r:embed="rId7">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fldSimple w:instr=" ADDIN EN.REFLIST ">
        <w:r w:rsidR="00BE0B30">
          <w:rPr>
            <w:b/>
            <w:lang w:val="en-GB"/>
          </w:rPr>
          <w:t xml:space="preserve">Appendix S2 </w:t>
        </w:r>
        <w:r w:rsidR="00BE0B30">
          <w:rPr>
            <w:lang w:val="en-GB"/>
          </w:rPr>
          <w:t>Diversity in phylogenetic lineages, habits, and stem anatomical modes sampled</w:t>
        </w:r>
        <w:r w:rsidR="00E20821">
          <w:rPr>
            <w:lang w:val="en-GB"/>
          </w:rPr>
          <w:t>, and diagnosing phylogenetic effect</w:t>
        </w:r>
        <w:r w:rsidR="00BE0B30">
          <w:rPr>
            <w:lang w:val="en-GB"/>
          </w:rPr>
          <w:t>.</w:t>
        </w:r>
        <w:r w:rsidR="00BE0B30" w:rsidRPr="009F0424">
          <w:rPr>
            <w:b/>
            <w:lang w:val="en-GB"/>
          </w:rPr>
          <w:t xml:space="preserve"> </w:t>
        </w:r>
        <w:r w:rsidR="00BE0B30" w:rsidRPr="009F0424">
          <w:rPr>
            <w:lang w:val="en-GB"/>
          </w:rPr>
          <w:t xml:space="preserve">Our sampling covers almost all major clades of the vessel-bearing angiosperms. The “basal” angiosperms, the monocots, and the non-core eudicots are </w:t>
        </w:r>
        <w:r w:rsidR="00BE0B30" w:rsidRPr="009F0424">
          <w:rPr>
            <w:lang w:val="en-GB"/>
          </w:rPr>
          <w:lastRenderedPageBreak/>
          <w:t xml:space="preserve">shaded in colors. The core eudicots are identified by white or gray shading according to order. Whenever possible, for each order we sampled at least one self- and one non self-supporting species. </w:t>
        </w:r>
      </w:fldSimple>
      <w:r w:rsidR="00BE0B30">
        <w:t>Ordinal level classification and phylogeny follo</w:t>
      </w:r>
      <w:r w:rsidR="00CB5D4E">
        <w:t>w</w:t>
      </w:r>
      <w:r w:rsidR="00BE0B30">
        <w:t xml:space="preserve"> the</w:t>
      </w:r>
      <w:r w:rsidR="00BE0B30" w:rsidRPr="001139C0">
        <w:t xml:space="preserve"> Angiosp</w:t>
      </w:r>
      <w:r w:rsidR="00BE0B30">
        <w:t>erm Phylogeny Website,</w:t>
      </w:r>
      <w:r w:rsidR="00BE0B30" w:rsidRPr="001139C0">
        <w:t xml:space="preserve"> Version 12, July 2012 http://www.mobot.org/MOBOT/research/APweb/.</w:t>
      </w:r>
      <w:r w:rsidR="00BE0B30">
        <w:t xml:space="preserve"> </w:t>
      </w:r>
      <w:r w:rsidR="00BE0B30" w:rsidRPr="009F0424">
        <w:rPr>
          <w:lang w:val="en-GB"/>
        </w:rPr>
        <w:t>With regard to habit, we sampled self-supporting plants ranging from shrubs 0.5 m</w:t>
      </w:r>
      <w:r w:rsidR="00BE0B30">
        <w:rPr>
          <w:lang w:val="en-GB"/>
        </w:rPr>
        <w:t xml:space="preserve"> tall to trees 60 m tall</w:t>
      </w:r>
      <w:r w:rsidR="00BE0B30" w:rsidRPr="009F0424">
        <w:rPr>
          <w:lang w:val="en-GB"/>
        </w:rPr>
        <w:t xml:space="preserve">, </w:t>
      </w:r>
      <w:r w:rsidR="00BE0B30">
        <w:rPr>
          <w:lang w:val="en-GB"/>
        </w:rPr>
        <w:t>including succulents, parasites, and monocots. We</w:t>
      </w:r>
      <w:r w:rsidR="00BE0B30" w:rsidRPr="009F0424">
        <w:rPr>
          <w:lang w:val="en-GB"/>
        </w:rPr>
        <w:t xml:space="preserve"> included </w:t>
      </w:r>
      <w:r w:rsidR="00BE0B30">
        <w:rPr>
          <w:lang w:val="en-GB"/>
        </w:rPr>
        <w:t xml:space="preserve">desert </w:t>
      </w:r>
      <w:r w:rsidR="00BE0B30" w:rsidRPr="009F0424">
        <w:rPr>
          <w:lang w:val="en-GB"/>
        </w:rPr>
        <w:t xml:space="preserve">shrubs with dense wood (e.g. </w:t>
      </w:r>
      <w:r w:rsidR="00BE0B30" w:rsidRPr="009F0424">
        <w:rPr>
          <w:i/>
          <w:lang w:val="en-GB"/>
        </w:rPr>
        <w:t>Guaiacum unijugum</w:t>
      </w:r>
      <w:r w:rsidR="00BE0B30" w:rsidRPr="009F0424">
        <w:rPr>
          <w:lang w:val="en-GB"/>
        </w:rPr>
        <w:t xml:space="preserve">) to trees with </w:t>
      </w:r>
      <w:r w:rsidR="00BE0B30">
        <w:rPr>
          <w:lang w:val="en-GB"/>
        </w:rPr>
        <w:t xml:space="preserve">minimally dense </w:t>
      </w:r>
      <w:r w:rsidR="00BE0B30" w:rsidRPr="009F0424">
        <w:rPr>
          <w:lang w:val="en-GB"/>
        </w:rPr>
        <w:t>parenchyma</w:t>
      </w:r>
      <w:r w:rsidR="00BE0B30">
        <w:rPr>
          <w:lang w:val="en-GB"/>
        </w:rPr>
        <w:t>tized xylem</w:t>
      </w:r>
      <w:r w:rsidR="00BE0B30" w:rsidRPr="009F0424">
        <w:rPr>
          <w:lang w:val="en-GB"/>
        </w:rPr>
        <w:t xml:space="preserve"> (</w:t>
      </w:r>
      <w:r w:rsidR="00BE0B30" w:rsidRPr="009F0424">
        <w:rPr>
          <w:i/>
          <w:lang w:val="en-GB"/>
        </w:rPr>
        <w:t xml:space="preserve">Jacaratia </w:t>
      </w:r>
      <w:r w:rsidR="00BE0B30" w:rsidRPr="009F0424">
        <w:rPr>
          <w:lang w:val="en-GB"/>
        </w:rPr>
        <w:t>spp.). Our sampling included spe</w:t>
      </w:r>
      <w:r w:rsidR="00BE0B30">
        <w:rPr>
          <w:lang w:val="en-GB"/>
        </w:rPr>
        <w:t xml:space="preserve">cies with </w:t>
      </w:r>
      <w:r w:rsidR="00BE0B30" w:rsidRPr="009F0424">
        <w:rPr>
          <w:lang w:val="en-GB"/>
        </w:rPr>
        <w:t>successive</w:t>
      </w:r>
      <w:r w:rsidR="00BE0B30">
        <w:rPr>
          <w:lang w:val="en-GB"/>
        </w:rPr>
        <w:t xml:space="preserve"> cambia</w:t>
      </w:r>
      <w:r w:rsidR="00BE0B30" w:rsidRPr="009F0424">
        <w:rPr>
          <w:lang w:val="en-GB"/>
        </w:rPr>
        <w:t xml:space="preserve"> (e.g. </w:t>
      </w:r>
      <w:r w:rsidR="00BE0B30" w:rsidRPr="009F0424">
        <w:rPr>
          <w:i/>
          <w:lang w:val="en-GB"/>
        </w:rPr>
        <w:t>Guapira macrocarpa</w:t>
      </w:r>
      <w:r w:rsidR="00BE0B30" w:rsidRPr="009F0424">
        <w:rPr>
          <w:lang w:val="en-GB"/>
        </w:rPr>
        <w:t xml:space="preserve">), xylem cylinders </w:t>
      </w:r>
      <w:r w:rsidR="00BE0B30">
        <w:rPr>
          <w:lang w:val="en-GB"/>
        </w:rPr>
        <w:t>interdigitated with</w:t>
      </w:r>
      <w:r w:rsidR="00BE0B30" w:rsidRPr="009F0424">
        <w:rPr>
          <w:lang w:val="en-GB"/>
        </w:rPr>
        <w:t xml:space="preserve"> phloem</w:t>
      </w:r>
      <w:r w:rsidR="00BE0B30">
        <w:rPr>
          <w:lang w:val="en-GB"/>
        </w:rPr>
        <w:t xml:space="preserve"> (e.g. various Bignoniaceae)</w:t>
      </w:r>
      <w:r w:rsidR="00BE0B30" w:rsidRPr="009F0424">
        <w:rPr>
          <w:lang w:val="en-GB"/>
        </w:rPr>
        <w:t>, and many other structural plans.</w:t>
      </w:r>
      <w:r w:rsidR="00BE0B30">
        <w:rPr>
          <w:lang w:val="en-GB"/>
        </w:rPr>
        <w:t xml:space="preserve"> </w:t>
      </w:r>
      <w:r w:rsidR="00BE0B30" w:rsidRPr="009F0424">
        <w:rPr>
          <w:lang w:val="en-GB"/>
        </w:rPr>
        <w:t xml:space="preserve">The non self-supporting category was highly heterogeneous, including plants that arch (e.g. </w:t>
      </w:r>
      <w:r w:rsidR="00BE0B30" w:rsidRPr="009F0424">
        <w:rPr>
          <w:i/>
          <w:lang w:val="en-GB"/>
        </w:rPr>
        <w:t>Abelia</w:t>
      </w:r>
      <w:r w:rsidR="00BE0B30" w:rsidRPr="009F0424">
        <w:rPr>
          <w:lang w:val="en-GB"/>
        </w:rPr>
        <w:t xml:space="preserve"> X</w:t>
      </w:r>
      <w:r w:rsidR="00BE0B30" w:rsidRPr="009F0424">
        <w:rPr>
          <w:i/>
          <w:lang w:val="en-GB"/>
        </w:rPr>
        <w:t>grandifolia</w:t>
      </w:r>
      <w:r w:rsidR="00BE0B30" w:rsidRPr="009F0424">
        <w:rPr>
          <w:lang w:val="en-GB"/>
        </w:rPr>
        <w:t>), plants with a tendency to wander through shrubs (</w:t>
      </w:r>
      <w:r w:rsidR="00BE0B30" w:rsidRPr="009F0424">
        <w:rPr>
          <w:i/>
          <w:lang w:val="en-GB"/>
        </w:rPr>
        <w:t>Crossopetalum uragoga</w:t>
      </w:r>
      <w:r w:rsidR="00BE0B30" w:rsidRPr="009F0424">
        <w:rPr>
          <w:lang w:val="en-GB"/>
        </w:rPr>
        <w:t>), to very long lianas climbing by roots (</w:t>
      </w:r>
      <w:r w:rsidR="00BE0B30" w:rsidRPr="009F0424">
        <w:rPr>
          <w:i/>
          <w:lang w:val="en-GB"/>
        </w:rPr>
        <w:t>Piper novae-holland</w:t>
      </w:r>
      <w:r w:rsidR="00BE0B30">
        <w:rPr>
          <w:i/>
          <w:lang w:val="en-GB"/>
        </w:rPr>
        <w:t>i</w:t>
      </w:r>
      <w:r w:rsidR="00BE0B30" w:rsidRPr="009F0424">
        <w:rPr>
          <w:i/>
          <w:lang w:val="en-GB"/>
        </w:rPr>
        <w:t>ae</w:t>
      </w:r>
      <w:r w:rsidR="00BE0B30" w:rsidRPr="009F0424">
        <w:rPr>
          <w:lang w:val="en-GB"/>
        </w:rPr>
        <w:t>)</w:t>
      </w:r>
      <w:r w:rsidR="00BE0B30" w:rsidRPr="007A30CA">
        <w:rPr>
          <w:lang w:val="en-GB"/>
        </w:rPr>
        <w:t xml:space="preserve">, </w:t>
      </w:r>
      <w:r w:rsidR="00BE0B30" w:rsidRPr="009F0424">
        <w:rPr>
          <w:lang w:val="en-GB"/>
        </w:rPr>
        <w:t>tendrils</w:t>
      </w:r>
      <w:r w:rsidR="00BE0B30" w:rsidRPr="009F0424">
        <w:rPr>
          <w:i/>
          <w:lang w:val="en-GB"/>
        </w:rPr>
        <w:t xml:space="preserve"> </w:t>
      </w:r>
      <w:r w:rsidR="00BE0B30" w:rsidRPr="009F0424">
        <w:rPr>
          <w:lang w:val="en-GB"/>
        </w:rPr>
        <w:t>(</w:t>
      </w:r>
      <w:r w:rsidR="00BE0B30" w:rsidRPr="009F0424">
        <w:rPr>
          <w:i/>
          <w:lang w:val="en-GB"/>
        </w:rPr>
        <w:t>Entada phaseioloides</w:t>
      </w:r>
      <w:r w:rsidR="00BE0B30" w:rsidRPr="009F0424">
        <w:rPr>
          <w:lang w:val="en-GB"/>
        </w:rPr>
        <w:t>), hooks or spines</w:t>
      </w:r>
      <w:r w:rsidR="00BE0B30" w:rsidRPr="009F0424">
        <w:rPr>
          <w:i/>
          <w:lang w:val="en-GB"/>
        </w:rPr>
        <w:t xml:space="preserve"> </w:t>
      </w:r>
      <w:r w:rsidR="00BE0B30" w:rsidRPr="009F0424">
        <w:rPr>
          <w:lang w:val="en-GB"/>
        </w:rPr>
        <w:t>(</w:t>
      </w:r>
      <w:r w:rsidR="00BE0B30" w:rsidRPr="009F0424">
        <w:rPr>
          <w:i/>
          <w:lang w:val="en-GB"/>
        </w:rPr>
        <w:t>Calamus radicalis</w:t>
      </w:r>
      <w:r w:rsidR="00BE0B30" w:rsidRPr="00214DCA">
        <w:rPr>
          <w:lang w:val="en-GB"/>
        </w:rPr>
        <w:t>,</w:t>
      </w:r>
      <w:r w:rsidR="00BE0B30" w:rsidRPr="009F0424">
        <w:rPr>
          <w:i/>
          <w:lang w:val="en-GB"/>
        </w:rPr>
        <w:t xml:space="preserve"> Celtis iguanaea</w:t>
      </w:r>
      <w:r w:rsidR="00BE0B30" w:rsidRPr="009F0424">
        <w:rPr>
          <w:lang w:val="en-GB"/>
        </w:rPr>
        <w:t>), twining (</w:t>
      </w:r>
      <w:r w:rsidR="00BE0B30" w:rsidRPr="009F0424">
        <w:rPr>
          <w:i/>
          <w:lang w:val="en-GB"/>
        </w:rPr>
        <w:t>Merremia peltata</w:t>
      </w:r>
      <w:r w:rsidR="00BE0B30">
        <w:rPr>
          <w:lang w:val="en-GB"/>
        </w:rPr>
        <w:t>), or other means</w:t>
      </w:r>
      <w:r w:rsidR="00BE0B30" w:rsidRPr="009F0424">
        <w:rPr>
          <w:lang w:val="en-GB"/>
        </w:rPr>
        <w:t>.</w:t>
      </w:r>
      <w:r w:rsidR="00BE0B30">
        <w:rPr>
          <w:lang w:val="en-GB"/>
        </w:rPr>
        <w:t xml:space="preserve"> With regard to anatomical modes, we </w:t>
      </w:r>
      <w:r w:rsidR="00BE0B30" w:rsidRPr="009F0424">
        <w:rPr>
          <w:lang w:val="en-GB"/>
        </w:rPr>
        <w:t xml:space="preserve">included species with very long scalariform perforation plates with dozens of bars (e.g. </w:t>
      </w:r>
      <w:r w:rsidR="00BE0B30" w:rsidRPr="009F0424">
        <w:rPr>
          <w:i/>
          <w:lang w:val="en-GB"/>
        </w:rPr>
        <w:t>Eupomatia laurina</w:t>
      </w:r>
      <w:r w:rsidR="00BE0B30" w:rsidRPr="009F0424">
        <w:rPr>
          <w:lang w:val="en-GB"/>
        </w:rPr>
        <w:t xml:space="preserve">), species with few bars (e.g. </w:t>
      </w:r>
      <w:r w:rsidR="00BE0B30" w:rsidRPr="009F0424">
        <w:rPr>
          <w:i/>
          <w:lang w:val="en-GB"/>
        </w:rPr>
        <w:t>Hibbertia juncea</w:t>
      </w:r>
      <w:r w:rsidR="00BE0B30" w:rsidRPr="009F0424">
        <w:rPr>
          <w:lang w:val="en-GB"/>
        </w:rPr>
        <w:t>), bordered as well as non-bordered simple perforation plates, species with vestured pits, species with conductive as well as non-conductive imperforate tracheary elements, including true tracheids (</w:t>
      </w:r>
      <w:r w:rsidR="00BE0B30" w:rsidRPr="009F0424">
        <w:rPr>
          <w:i/>
          <w:lang w:val="en-GB"/>
        </w:rPr>
        <w:t>Exocarpos cupressiformis</w:t>
      </w:r>
      <w:r w:rsidR="00BE0B30" w:rsidRPr="009F0424">
        <w:rPr>
          <w:lang w:val="en-GB"/>
        </w:rPr>
        <w:t>), libriform fibers (many species), vasi</w:t>
      </w:r>
      <w:r w:rsidR="00BE0B30">
        <w:rPr>
          <w:lang w:val="en-GB"/>
        </w:rPr>
        <w:t>c</w:t>
      </w:r>
      <w:r w:rsidR="00BE0B30" w:rsidRPr="009F0424">
        <w:rPr>
          <w:lang w:val="en-GB"/>
        </w:rPr>
        <w:t xml:space="preserve">entric tracheids (e.g. </w:t>
      </w:r>
      <w:r w:rsidR="00BE0B30" w:rsidRPr="009F0424">
        <w:rPr>
          <w:i/>
          <w:lang w:val="en-GB"/>
        </w:rPr>
        <w:t>Ozothamnus hookeri</w:t>
      </w:r>
      <w:r w:rsidR="00BE0B30" w:rsidRPr="009F0424">
        <w:rPr>
          <w:lang w:val="en-GB"/>
        </w:rPr>
        <w:t>), and vascular tracheids (</w:t>
      </w:r>
      <w:r w:rsidR="00BE0B30" w:rsidRPr="009F0424">
        <w:rPr>
          <w:i/>
          <w:lang w:val="en-GB"/>
        </w:rPr>
        <w:t>Chilopsis linearis</w:t>
      </w:r>
      <w:r w:rsidR="00BE0B30" w:rsidRPr="009F0424">
        <w:rPr>
          <w:lang w:val="en-GB"/>
        </w:rPr>
        <w:t xml:space="preserve">), species with grouped vessels (e.g. </w:t>
      </w:r>
      <w:r w:rsidR="00BE0B30" w:rsidRPr="009F0424">
        <w:rPr>
          <w:i/>
          <w:lang w:val="en-GB"/>
        </w:rPr>
        <w:t>Hymenoclaea salso</w:t>
      </w:r>
      <w:r w:rsidR="007B23E2">
        <w:rPr>
          <w:i/>
          <w:lang w:val="en-GB"/>
        </w:rPr>
        <w:t>l</w:t>
      </w:r>
      <w:r w:rsidR="00BE0B30" w:rsidRPr="009F0424">
        <w:rPr>
          <w:i/>
          <w:lang w:val="en-GB"/>
        </w:rPr>
        <w:t>a</w:t>
      </w:r>
      <w:r w:rsidR="00BE0B30" w:rsidRPr="009F0424">
        <w:rPr>
          <w:lang w:val="en-GB"/>
        </w:rPr>
        <w:t xml:space="preserve">), solitary vessels (e.g. </w:t>
      </w:r>
      <w:r w:rsidR="00BE0B30" w:rsidRPr="009F0424">
        <w:rPr>
          <w:i/>
          <w:lang w:val="en-GB"/>
        </w:rPr>
        <w:t>Larrea tridentata</w:t>
      </w:r>
      <w:r w:rsidR="00BE0B30" w:rsidRPr="009F0424">
        <w:rPr>
          <w:lang w:val="en-GB"/>
        </w:rPr>
        <w:t>,</w:t>
      </w:r>
      <w:r w:rsidR="00BE0B30" w:rsidRPr="009F0424">
        <w:rPr>
          <w:i/>
          <w:lang w:val="en-GB"/>
        </w:rPr>
        <w:t xml:space="preserve"> Atkinsonia ligustrina</w:t>
      </w:r>
      <w:r w:rsidR="00BE0B30" w:rsidRPr="009F0424">
        <w:rPr>
          <w:lang w:val="en-GB"/>
        </w:rPr>
        <w:t xml:space="preserve">), vessel dimorphism (e.g. </w:t>
      </w:r>
      <w:r w:rsidR="00BE0B30" w:rsidRPr="009F0424">
        <w:rPr>
          <w:i/>
          <w:lang w:val="en-GB"/>
        </w:rPr>
        <w:t>Pandorea pandorana</w:t>
      </w:r>
      <w:r w:rsidR="00BE0B30" w:rsidRPr="009F0424">
        <w:rPr>
          <w:lang w:val="en-GB"/>
        </w:rPr>
        <w:t>), ring porous species (e.g.</w:t>
      </w:r>
      <w:r w:rsidR="00BE0B30" w:rsidRPr="009F0424">
        <w:rPr>
          <w:i/>
          <w:lang w:val="en-GB"/>
        </w:rPr>
        <w:t xml:space="preserve"> Rosa damasc</w:t>
      </w:r>
      <w:r w:rsidR="00BE0B30">
        <w:rPr>
          <w:i/>
          <w:lang w:val="en-GB"/>
        </w:rPr>
        <w:t>e</w:t>
      </w:r>
      <w:r w:rsidR="00BE0B30" w:rsidRPr="009F0424">
        <w:rPr>
          <w:i/>
          <w:lang w:val="en-GB"/>
        </w:rPr>
        <w:t>na</w:t>
      </w:r>
      <w:r w:rsidR="00BE0B30" w:rsidRPr="009F0424">
        <w:rPr>
          <w:lang w:val="en-GB"/>
        </w:rPr>
        <w:t>), diffuse-porous</w:t>
      </w:r>
      <w:r w:rsidR="00BE0B30">
        <w:rPr>
          <w:lang w:val="en-GB"/>
        </w:rPr>
        <w:t xml:space="preserve"> ones</w:t>
      </w:r>
      <w:r w:rsidR="00BE0B30" w:rsidRPr="009F0424">
        <w:rPr>
          <w:lang w:val="en-GB"/>
        </w:rPr>
        <w:t xml:space="preserve"> (many species), those with radial multiples, flame-like vessel groupings, vessels in bands, etc., in short,</w:t>
      </w:r>
      <w:r w:rsidR="00BE0B30">
        <w:rPr>
          <w:lang w:val="en-GB"/>
        </w:rPr>
        <w:t xml:space="preserve"> </w:t>
      </w:r>
      <w:r w:rsidR="00BE0B30" w:rsidRPr="009F0424">
        <w:rPr>
          <w:lang w:val="en-GB"/>
        </w:rPr>
        <w:t>virtually the entire span of vessel bearing ang</w:t>
      </w:r>
      <w:r w:rsidR="00BE0B30">
        <w:rPr>
          <w:lang w:val="en-GB"/>
        </w:rPr>
        <w:t>iosperm xylem anatomical modes</w:t>
      </w:r>
      <w:r w:rsidR="00BE0B30" w:rsidRPr="009F0424">
        <w:rPr>
          <w:lang w:val="en-GB"/>
        </w:rPr>
        <w:t>.</w:t>
      </w:r>
    </w:p>
    <w:p w14:paraId="3478F7FE" w14:textId="05705D7A" w:rsidR="004A1772" w:rsidRDefault="00E03EE9" w:rsidP="004A1772">
      <w:pPr>
        <w:tabs>
          <w:tab w:val="left" w:pos="810"/>
          <w:tab w:val="left" w:pos="900"/>
        </w:tabs>
        <w:spacing w:after="0"/>
        <w:ind w:firstLine="720"/>
        <w:outlineLvl w:val="0"/>
        <w:rPr>
          <w:lang w:val="en-GB"/>
        </w:rPr>
      </w:pPr>
      <w:r>
        <w:t>To assess the effect of phylogeny on our regresions, w</w:t>
      </w:r>
      <w:r w:rsidR="004A1772">
        <w:t>e built the</w:t>
      </w:r>
      <w:r w:rsidR="004A1772" w:rsidRPr="009F0424">
        <w:t xml:space="preserve"> phylogeny</w:t>
      </w:r>
      <w:r w:rsidR="004A1772">
        <w:t xml:space="preserve"> above</w:t>
      </w:r>
      <w:r w:rsidR="004A1772" w:rsidRPr="009F0424">
        <w:t xml:space="preserve"> using the APG backbone plus the relevant literature for specific groups. We assigned branch lengths to the phylogeny using the bladj command of Phylocom v. 4.2 (Webb </w:t>
      </w:r>
      <w:r w:rsidR="004A1772" w:rsidRPr="00D428B3">
        <w:rPr>
          <w:i/>
        </w:rPr>
        <w:t>et al</w:t>
      </w:r>
      <w:r w:rsidR="004A1772" w:rsidRPr="00577A32">
        <w:rPr>
          <w:i/>
        </w:rPr>
        <w:t>.</w:t>
      </w:r>
      <w:r w:rsidR="004A1772" w:rsidRPr="009F0424">
        <w:t xml:space="preserve"> 2008) and the divergence times of Wikstrom </w:t>
      </w:r>
      <w:r w:rsidR="004A1772" w:rsidRPr="00D428B3">
        <w:rPr>
          <w:i/>
        </w:rPr>
        <w:t>et al</w:t>
      </w:r>
      <w:r w:rsidR="004A1772" w:rsidRPr="00577A32">
        <w:rPr>
          <w:i/>
        </w:rPr>
        <w:t>.</w:t>
      </w:r>
      <w:r w:rsidR="004A1772" w:rsidRPr="009F0424">
        <w:t xml:space="preserve"> (2001), removing singleton branches with the cleanphy command. Three polytomies were resolved as branches of 0.0001 length. </w:t>
      </w:r>
      <w:r w:rsidR="004A1772" w:rsidRPr="009F0424">
        <w:rPr>
          <w:rFonts w:ascii="Times New Roman" w:hAnsi="Times New Roman" w:cs="Times New Roman"/>
        </w:rPr>
        <w:t xml:space="preserve">We assessed phylogenetic signal in the residuals of each of the fitted regressions (Revell 2010) through a randomization procedure based on phylogenetically independent contrasts and the K statistic of Blomberg </w:t>
      </w:r>
      <w:r w:rsidR="004A1772" w:rsidRPr="00D428B3">
        <w:rPr>
          <w:rFonts w:ascii="Times New Roman" w:hAnsi="Times New Roman" w:cs="Times New Roman"/>
          <w:i/>
        </w:rPr>
        <w:t>et al</w:t>
      </w:r>
      <w:r w:rsidR="004A1772" w:rsidRPr="00577A32">
        <w:rPr>
          <w:rFonts w:ascii="Times New Roman" w:hAnsi="Times New Roman" w:cs="Times New Roman"/>
          <w:i/>
        </w:rPr>
        <w:t>.</w:t>
      </w:r>
      <w:r w:rsidR="004A1772" w:rsidRPr="009F0424">
        <w:rPr>
          <w:rFonts w:ascii="Times New Roman" w:hAnsi="Times New Roman" w:cs="Times New Roman"/>
        </w:rPr>
        <w:t xml:space="preserve"> (2003) using the R package picante (Kembel </w:t>
      </w:r>
      <w:r w:rsidR="004A1772" w:rsidRPr="00D428B3">
        <w:rPr>
          <w:rFonts w:ascii="Times New Roman" w:hAnsi="Times New Roman" w:cs="Times New Roman"/>
          <w:i/>
        </w:rPr>
        <w:t>et al</w:t>
      </w:r>
      <w:r w:rsidR="004A1772" w:rsidRPr="00577A32">
        <w:rPr>
          <w:rFonts w:ascii="Times New Roman" w:hAnsi="Times New Roman" w:cs="Times New Roman"/>
          <w:i/>
        </w:rPr>
        <w:t>.</w:t>
      </w:r>
      <w:r w:rsidR="004A1772" w:rsidRPr="009F0424">
        <w:rPr>
          <w:rFonts w:ascii="Times New Roman" w:hAnsi="Times New Roman" w:cs="Times New Roman"/>
        </w:rPr>
        <w:t xml:space="preserve"> 2010). We refitted all regressions taking into account phylogen</w:t>
      </w:r>
      <w:r w:rsidR="004A1772">
        <w:rPr>
          <w:rFonts w:ascii="Times New Roman" w:hAnsi="Times New Roman" w:cs="Times New Roman"/>
        </w:rPr>
        <w:t>y</w:t>
      </w:r>
      <w:r w:rsidR="004A1772" w:rsidRPr="009F0424">
        <w:rPr>
          <w:rFonts w:ascii="Times New Roman" w:hAnsi="Times New Roman" w:cs="Times New Roman"/>
        </w:rPr>
        <w:t xml:space="preserve"> using the function pgls in the package caper (Orme </w:t>
      </w:r>
      <w:r w:rsidR="004A1772" w:rsidRPr="00D428B3">
        <w:rPr>
          <w:rFonts w:ascii="Times New Roman" w:hAnsi="Times New Roman" w:cs="Times New Roman"/>
          <w:i/>
        </w:rPr>
        <w:t>et al</w:t>
      </w:r>
      <w:r w:rsidR="004A1772" w:rsidRPr="00577A32">
        <w:rPr>
          <w:rFonts w:ascii="Times New Roman" w:hAnsi="Times New Roman" w:cs="Times New Roman"/>
          <w:i/>
        </w:rPr>
        <w:t>.</w:t>
      </w:r>
      <w:r w:rsidR="004A1772" w:rsidRPr="009F0424">
        <w:rPr>
          <w:rFonts w:ascii="Times New Roman" w:hAnsi="Times New Roman" w:cs="Times New Roman"/>
        </w:rPr>
        <w:t xml:space="preserve"> 2012)</w:t>
      </w:r>
      <w:r w:rsidR="004A1772">
        <w:rPr>
          <w:rFonts w:ascii="Times New Roman" w:hAnsi="Times New Roman" w:cs="Times New Roman"/>
        </w:rPr>
        <w:t>, which implements a phylogenetic generalized least squares (PGLS) approach</w:t>
      </w:r>
      <w:r w:rsidR="004A1772" w:rsidRPr="009F0424">
        <w:rPr>
          <w:rFonts w:ascii="Times New Roman" w:hAnsi="Times New Roman" w:cs="Times New Roman"/>
        </w:rPr>
        <w:t>.</w:t>
      </w:r>
    </w:p>
    <w:p w14:paraId="30F48E83" w14:textId="07E1FC4B" w:rsidR="004A1772" w:rsidRDefault="004A1772" w:rsidP="004A1772">
      <w:pPr>
        <w:tabs>
          <w:tab w:val="left" w:pos="810"/>
          <w:tab w:val="left" w:pos="900"/>
        </w:tabs>
        <w:spacing w:after="0"/>
        <w:ind w:firstLine="720"/>
        <w:outlineLvl w:val="0"/>
        <w:rPr>
          <w:bCs/>
          <w:lang w:val="en-GB"/>
        </w:rPr>
      </w:pPr>
      <w:r>
        <w:rPr>
          <w:bCs/>
          <w:lang w:val="en-GB"/>
        </w:rPr>
        <w:t>Scaling exponents and constants</w:t>
      </w:r>
      <w:r w:rsidRPr="009F0424">
        <w:rPr>
          <w:bCs/>
          <w:lang w:val="en-GB"/>
        </w:rPr>
        <w:t xml:space="preserve"> of regressions </w:t>
      </w:r>
      <w:r>
        <w:rPr>
          <w:bCs/>
          <w:lang w:val="en-GB"/>
        </w:rPr>
        <w:t>taking</w:t>
      </w:r>
      <w:r w:rsidRPr="009F0424">
        <w:rPr>
          <w:bCs/>
          <w:lang w:val="en-GB"/>
        </w:rPr>
        <w:t xml:space="preserve"> into acco</w:t>
      </w:r>
      <w:r>
        <w:rPr>
          <w:bCs/>
          <w:lang w:val="en-GB"/>
        </w:rPr>
        <w:t>unt phylogeny using PGLS</w:t>
      </w:r>
      <w:r w:rsidRPr="009F0424">
        <w:rPr>
          <w:bCs/>
          <w:lang w:val="en-GB"/>
        </w:rPr>
        <w:t xml:space="preserve"> were very similar to those based on standard statistics. Phylogenetic signal was significant in residuals of </w:t>
      </w:r>
      <w:r>
        <w:rPr>
          <w:bCs/>
          <w:lang w:val="en-GB"/>
        </w:rPr>
        <w:t>most</w:t>
      </w:r>
      <w:r w:rsidRPr="009F0424">
        <w:rPr>
          <w:bCs/>
          <w:lang w:val="en-GB"/>
        </w:rPr>
        <w:t xml:space="preserve"> </w:t>
      </w:r>
      <w:r>
        <w:rPr>
          <w:bCs/>
          <w:lang w:val="en-GB"/>
        </w:rPr>
        <w:t xml:space="preserve">of </w:t>
      </w:r>
      <w:r w:rsidRPr="009F0424">
        <w:rPr>
          <w:bCs/>
          <w:lang w:val="en-GB"/>
        </w:rPr>
        <w:t xml:space="preserve">the regression models, </w:t>
      </w:r>
      <w:r>
        <w:rPr>
          <w:bCs/>
          <w:lang w:val="en-GB"/>
        </w:rPr>
        <w:t xml:space="preserve">as expected given the large sample size. However, </w:t>
      </w:r>
      <w:r w:rsidRPr="009F0424">
        <w:rPr>
          <w:bCs/>
          <w:lang w:val="en-GB"/>
        </w:rPr>
        <w:t>the K statistic</w:t>
      </w:r>
      <w:r>
        <w:rPr>
          <w:bCs/>
          <w:lang w:val="en-GB"/>
        </w:rPr>
        <w:t xml:space="preserve"> </w:t>
      </w:r>
      <w:r w:rsidRPr="00D23D52">
        <w:rPr>
          <w:bCs/>
          <w:lang w:val="en-GB"/>
        </w:rPr>
        <w:t>was much smaller than one, ranging from 0.16-0.44 for the different regressions (Table</w:t>
      </w:r>
      <w:r>
        <w:rPr>
          <w:bCs/>
          <w:lang w:val="en-GB"/>
        </w:rPr>
        <w:t>s 1,</w:t>
      </w:r>
      <w:r w:rsidR="006C4FEF">
        <w:rPr>
          <w:bCs/>
          <w:lang w:val="en-GB"/>
        </w:rPr>
        <w:t xml:space="preserve"> </w:t>
      </w:r>
      <w:r w:rsidRPr="00D23D52">
        <w:rPr>
          <w:bCs/>
          <w:lang w:val="en-GB"/>
        </w:rPr>
        <w:t>S1).</w:t>
      </w:r>
      <w:r w:rsidRPr="009F0424">
        <w:rPr>
          <w:bCs/>
          <w:lang w:val="en-GB"/>
        </w:rPr>
        <w:t xml:space="preserve"> This</w:t>
      </w:r>
      <w:r>
        <w:rPr>
          <w:bCs/>
          <w:lang w:val="en-GB"/>
        </w:rPr>
        <w:t xml:space="preserve"> low value indicated</w:t>
      </w:r>
      <w:r w:rsidRPr="009F0424">
        <w:rPr>
          <w:bCs/>
          <w:lang w:val="en-GB"/>
        </w:rPr>
        <w:t xml:space="preserve"> </w:t>
      </w:r>
      <w:r>
        <w:rPr>
          <w:bCs/>
          <w:lang w:val="en-GB"/>
        </w:rPr>
        <w:t>very low phylogenetic signal. A negligible phylogenetic effect was also suggested by the similarity</w:t>
      </w:r>
      <w:r w:rsidRPr="009F0424">
        <w:rPr>
          <w:bCs/>
          <w:lang w:val="en-GB"/>
        </w:rPr>
        <w:t xml:space="preserve"> in PGLS estimates as compared with non-phylogenetic</w:t>
      </w:r>
      <w:r>
        <w:rPr>
          <w:bCs/>
          <w:lang w:val="en-GB"/>
        </w:rPr>
        <w:t xml:space="preserve"> regressions</w:t>
      </w:r>
      <w:r w:rsidRPr="009F0424">
        <w:rPr>
          <w:bCs/>
          <w:lang w:val="en-GB"/>
        </w:rPr>
        <w:t xml:space="preserve">. All PGLS regressions had non-significant interaction terms, </w:t>
      </w:r>
      <w:r>
        <w:rPr>
          <w:bCs/>
          <w:lang w:val="en-GB"/>
        </w:rPr>
        <w:t>indicating</w:t>
      </w:r>
      <w:r w:rsidRPr="009F0424">
        <w:rPr>
          <w:bCs/>
          <w:lang w:val="en-GB"/>
        </w:rPr>
        <w:t xml:space="preserve"> universality of scaling exponents. PGLS estimates indicated that </w:t>
      </w:r>
      <w:r w:rsidRPr="00544ED9">
        <w:rPr>
          <w:bCs/>
          <w:i/>
          <w:lang w:val="en-GB"/>
        </w:rPr>
        <w:t xml:space="preserve">WR </w:t>
      </w:r>
      <w:r>
        <w:rPr>
          <w:bCs/>
          <w:lang w:val="en-GB"/>
        </w:rPr>
        <w:t>=</w:t>
      </w:r>
      <w:r w:rsidRPr="009F0424">
        <w:rPr>
          <w:bCs/>
          <w:lang w:val="en-GB"/>
        </w:rPr>
        <w:t xml:space="preserve"> </w:t>
      </w:r>
      <w:r w:rsidRPr="009F0424">
        <w:rPr>
          <w:bCs/>
          <w:i/>
          <w:lang w:val="en-GB"/>
        </w:rPr>
        <w:t>SL</w:t>
      </w:r>
      <w:r w:rsidRPr="009F0424">
        <w:rPr>
          <w:bCs/>
          <w:vertAlign w:val="superscript"/>
          <w:lang w:val="en-GB"/>
        </w:rPr>
        <w:t>0.4</w:t>
      </w:r>
      <w:r>
        <w:rPr>
          <w:bCs/>
          <w:vertAlign w:val="superscript"/>
          <w:lang w:val="en-GB"/>
        </w:rPr>
        <w:t>8</w:t>
      </w:r>
      <w:r w:rsidRPr="009F0424">
        <w:rPr>
          <w:bCs/>
          <w:lang w:val="en-GB"/>
        </w:rPr>
        <w:t>/</w:t>
      </w:r>
      <w:r w:rsidRPr="009F0424">
        <w:rPr>
          <w:bCs/>
          <w:i/>
          <w:lang w:val="en-GB"/>
        </w:rPr>
        <w:t>SL</w:t>
      </w:r>
      <w:r w:rsidRPr="009F0424">
        <w:rPr>
          <w:bCs/>
          <w:vertAlign w:val="superscript"/>
          <w:lang w:val="en-GB"/>
        </w:rPr>
        <w:t>0.2</w:t>
      </w:r>
      <w:r>
        <w:rPr>
          <w:bCs/>
          <w:vertAlign w:val="superscript"/>
          <w:lang w:val="en-GB"/>
        </w:rPr>
        <w:t>4</w:t>
      </w:r>
      <w:r w:rsidRPr="009F0424">
        <w:rPr>
          <w:bCs/>
          <w:vertAlign w:val="superscript"/>
          <w:lang w:val="en-GB"/>
        </w:rPr>
        <w:t xml:space="preserve"> </w:t>
      </w:r>
      <w:r>
        <w:rPr>
          <w:bCs/>
          <w:lang w:val="en-GB"/>
        </w:rPr>
        <w:t>=</w:t>
      </w:r>
      <w:r w:rsidRPr="009F0424">
        <w:rPr>
          <w:bCs/>
          <w:lang w:val="en-GB"/>
        </w:rPr>
        <w:t xml:space="preserve"> </w:t>
      </w:r>
      <w:r w:rsidRPr="009F0424">
        <w:rPr>
          <w:bCs/>
          <w:i/>
          <w:lang w:val="en-GB"/>
        </w:rPr>
        <w:t>SL</w:t>
      </w:r>
      <w:r w:rsidRPr="009F0424">
        <w:rPr>
          <w:bCs/>
          <w:vertAlign w:val="superscript"/>
          <w:lang w:val="en-GB"/>
        </w:rPr>
        <w:t>0.2</w:t>
      </w:r>
      <w:r>
        <w:rPr>
          <w:bCs/>
          <w:vertAlign w:val="superscript"/>
          <w:lang w:val="en-GB"/>
        </w:rPr>
        <w:t>4</w:t>
      </w:r>
      <w:r w:rsidRPr="009F0424">
        <w:rPr>
          <w:bCs/>
          <w:lang w:val="en-GB"/>
        </w:rPr>
        <w:t xml:space="preserve">, almost identical to </w:t>
      </w:r>
      <w:r>
        <w:rPr>
          <w:bCs/>
          <w:lang w:val="en-GB"/>
        </w:rPr>
        <w:t>the 0.22 exponent of</w:t>
      </w:r>
      <w:r w:rsidRPr="009F0424">
        <w:rPr>
          <w:bCs/>
          <w:lang w:val="en-GB"/>
        </w:rPr>
        <w:t xml:space="preserve"> standard regressions.</w:t>
      </w:r>
      <w:r>
        <w:rPr>
          <w:bCs/>
          <w:lang w:val="en-GB"/>
        </w:rPr>
        <w:t xml:space="preserve"> </w:t>
      </w:r>
      <w:r w:rsidR="007B2084" w:rsidRPr="007B2084">
        <w:rPr>
          <w:bCs/>
          <w:lang w:val="en-GB"/>
        </w:rPr>
        <w:t>These results underscore the remarkable lability of vessel diameter. Long stemmed lianas will always have wider vessels for a given stem diameter than self-supporting plants, no matter how closely related (e.g. the two species of Trimenia in Fig. 1). Plant size and habit predict average vessel dimensions, and, as is likely the case for many plant functio</w:t>
      </w:r>
      <w:r w:rsidR="000E40E7">
        <w:rPr>
          <w:bCs/>
          <w:lang w:val="en-GB"/>
        </w:rPr>
        <w:t>nal traits, phylogeny does not</w:t>
      </w:r>
      <w:bookmarkStart w:id="0" w:name="_GoBack"/>
      <w:bookmarkEnd w:id="0"/>
      <w:r w:rsidR="007B2084" w:rsidRPr="007B2084">
        <w:rPr>
          <w:bCs/>
          <w:lang w:val="en-GB"/>
        </w:rPr>
        <w:t>.</w:t>
      </w:r>
    </w:p>
    <w:p w14:paraId="3C34C67F" w14:textId="77777777" w:rsidR="00E95F67" w:rsidRDefault="00E95F67" w:rsidP="004A1772">
      <w:pPr>
        <w:tabs>
          <w:tab w:val="left" w:pos="810"/>
          <w:tab w:val="left" w:pos="900"/>
        </w:tabs>
        <w:spacing w:after="0"/>
        <w:ind w:firstLine="720"/>
        <w:outlineLvl w:val="0"/>
        <w:rPr>
          <w:bCs/>
          <w:lang w:val="en-GB"/>
        </w:rPr>
      </w:pPr>
    </w:p>
    <w:p w14:paraId="27E9EE90" w14:textId="77777777" w:rsidR="00E95F67" w:rsidRDefault="00E95F67" w:rsidP="00E95F67">
      <w:pPr>
        <w:spacing w:after="0"/>
        <w:ind w:left="720" w:hanging="720"/>
      </w:pPr>
      <w:r w:rsidRPr="009F0424">
        <w:t>Blomberg</w:t>
      </w:r>
      <w:r>
        <w:t>,</w:t>
      </w:r>
      <w:r w:rsidRPr="009F0424">
        <w:t xml:space="preserve"> S</w:t>
      </w:r>
      <w:r>
        <w:t>.</w:t>
      </w:r>
      <w:r w:rsidRPr="009F0424">
        <w:t>P</w:t>
      </w:r>
      <w:r>
        <w:t>.</w:t>
      </w:r>
      <w:r w:rsidRPr="009F0424">
        <w:t>, Garland</w:t>
      </w:r>
      <w:r>
        <w:t>, T. &amp;</w:t>
      </w:r>
      <w:r w:rsidRPr="009F0424">
        <w:t xml:space="preserve"> Ives</w:t>
      </w:r>
      <w:r>
        <w:t>, A.R. (</w:t>
      </w:r>
      <w:r w:rsidRPr="009F0424">
        <w:t>2003</w:t>
      </w:r>
      <w:r>
        <w:t>).</w:t>
      </w:r>
      <w:r w:rsidRPr="009F0424">
        <w:t xml:space="preserve"> Testing for phylogenetic signal in comparative data: behavioral traits are more labile. </w:t>
      </w:r>
      <w:r w:rsidRPr="008F1AA6">
        <w:rPr>
          <w:i/>
        </w:rPr>
        <w:t>Evolution</w:t>
      </w:r>
      <w:r>
        <w:t xml:space="preserve">, 57, </w:t>
      </w:r>
      <w:r w:rsidRPr="009F0424">
        <w:t>717</w:t>
      </w:r>
      <w:r>
        <w:t>—</w:t>
      </w:r>
      <w:r w:rsidRPr="009F0424">
        <w:t>745.</w:t>
      </w:r>
    </w:p>
    <w:p w14:paraId="6E9ED0B2" w14:textId="77777777" w:rsidR="00E95F67" w:rsidRDefault="00E95F67" w:rsidP="00E95F67">
      <w:pPr>
        <w:spacing w:after="0"/>
        <w:ind w:left="720" w:hanging="720"/>
      </w:pPr>
      <w:r w:rsidRPr="009F0424">
        <w:t>Kembel</w:t>
      </w:r>
      <w:r>
        <w:t>,</w:t>
      </w:r>
      <w:r w:rsidRPr="009F0424">
        <w:t xml:space="preserve"> S</w:t>
      </w:r>
      <w:r>
        <w:t>.</w:t>
      </w:r>
      <w:r w:rsidRPr="009F0424">
        <w:t>W</w:t>
      </w:r>
      <w:r>
        <w:t>.</w:t>
      </w:r>
      <w:r w:rsidRPr="009F0424">
        <w:t>, Cowan</w:t>
      </w:r>
      <w:r>
        <w:t>, P.D.</w:t>
      </w:r>
      <w:r w:rsidRPr="009F0424">
        <w:t>, Helmus</w:t>
      </w:r>
      <w:r>
        <w:t xml:space="preserve">, </w:t>
      </w:r>
      <w:r w:rsidRPr="009F0424">
        <w:t>M</w:t>
      </w:r>
      <w:r>
        <w:t>.</w:t>
      </w:r>
      <w:r w:rsidRPr="009F0424">
        <w:t>R</w:t>
      </w:r>
      <w:r>
        <w:t>.</w:t>
      </w:r>
      <w:r w:rsidRPr="009F0424">
        <w:t>, Cornwell</w:t>
      </w:r>
      <w:r>
        <w:t xml:space="preserve">, </w:t>
      </w:r>
      <w:r w:rsidRPr="009F0424">
        <w:t>W</w:t>
      </w:r>
      <w:r>
        <w:t>.</w:t>
      </w:r>
      <w:r w:rsidRPr="009F0424">
        <w:t>K</w:t>
      </w:r>
      <w:r>
        <w:t>.</w:t>
      </w:r>
      <w:r w:rsidRPr="009F0424">
        <w:t>, Morlon</w:t>
      </w:r>
      <w:r>
        <w:t xml:space="preserve">, </w:t>
      </w:r>
      <w:r w:rsidRPr="009F0424">
        <w:t>H</w:t>
      </w:r>
      <w:r>
        <w:t>.</w:t>
      </w:r>
      <w:r w:rsidRPr="009F0424">
        <w:t>, Ackerly</w:t>
      </w:r>
      <w:r>
        <w:t xml:space="preserve">, </w:t>
      </w:r>
      <w:r w:rsidRPr="009F0424">
        <w:t>D</w:t>
      </w:r>
      <w:r>
        <w:t>.</w:t>
      </w:r>
      <w:r w:rsidRPr="009F0424">
        <w:t>D</w:t>
      </w:r>
      <w:r>
        <w:t xml:space="preserve">. </w:t>
      </w:r>
      <w:r>
        <w:rPr>
          <w:i/>
        </w:rPr>
        <w:t xml:space="preserve">et al. </w:t>
      </w:r>
      <w:r>
        <w:t>(</w:t>
      </w:r>
      <w:r w:rsidRPr="009F0424">
        <w:t>2010</w:t>
      </w:r>
      <w:r>
        <w:t>).</w:t>
      </w:r>
      <w:r w:rsidRPr="009F0424">
        <w:t xml:space="preserve"> picante: R tools for integrating phylogenies and ecology. </w:t>
      </w:r>
      <w:r w:rsidRPr="0008403C">
        <w:rPr>
          <w:i/>
        </w:rPr>
        <w:t>Bioinformatics</w:t>
      </w:r>
      <w:r>
        <w:t xml:space="preserve">, 26, </w:t>
      </w:r>
      <w:r w:rsidRPr="009F0424">
        <w:t>1463–1464.</w:t>
      </w:r>
    </w:p>
    <w:p w14:paraId="25F68742" w14:textId="77777777" w:rsidR="00E95F67" w:rsidRDefault="00E95F67" w:rsidP="00E95F67">
      <w:pPr>
        <w:spacing w:after="0"/>
        <w:ind w:left="720" w:hanging="720"/>
        <w:rPr>
          <w:lang w:val="es-ES"/>
        </w:rPr>
      </w:pPr>
      <w:r w:rsidRPr="003B7F64">
        <w:rPr>
          <w:lang w:val="es-ES"/>
        </w:rPr>
        <w:t>Orme</w:t>
      </w:r>
      <w:r>
        <w:rPr>
          <w:lang w:val="es-ES"/>
        </w:rPr>
        <w:t>,</w:t>
      </w:r>
      <w:r w:rsidRPr="003B7F64">
        <w:rPr>
          <w:lang w:val="es-ES"/>
        </w:rPr>
        <w:t xml:space="preserve"> D</w:t>
      </w:r>
      <w:r>
        <w:rPr>
          <w:lang w:val="es-ES"/>
        </w:rPr>
        <w:t xml:space="preserve">., </w:t>
      </w:r>
      <w:r w:rsidRPr="003B7F64">
        <w:rPr>
          <w:lang w:val="es-ES"/>
        </w:rPr>
        <w:t>Freckleton</w:t>
      </w:r>
      <w:r>
        <w:rPr>
          <w:lang w:val="es-ES"/>
        </w:rPr>
        <w:t xml:space="preserve">, R., </w:t>
      </w:r>
      <w:r w:rsidRPr="003B7F64">
        <w:rPr>
          <w:lang w:val="es-ES"/>
        </w:rPr>
        <w:t>Thomas</w:t>
      </w:r>
      <w:r>
        <w:rPr>
          <w:lang w:val="es-ES"/>
        </w:rPr>
        <w:t xml:space="preserve">, G., </w:t>
      </w:r>
      <w:r w:rsidRPr="003B7F64">
        <w:rPr>
          <w:lang w:val="es-ES"/>
        </w:rPr>
        <w:t>Petzoldt</w:t>
      </w:r>
      <w:r>
        <w:rPr>
          <w:lang w:val="es-ES"/>
        </w:rPr>
        <w:t xml:space="preserve">, T., </w:t>
      </w:r>
      <w:r w:rsidRPr="003B7F64">
        <w:rPr>
          <w:lang w:val="es-ES"/>
        </w:rPr>
        <w:t>Fritz</w:t>
      </w:r>
      <w:r>
        <w:rPr>
          <w:lang w:val="es-ES"/>
        </w:rPr>
        <w:t xml:space="preserve">, S., </w:t>
      </w:r>
      <w:r w:rsidRPr="003B7F64">
        <w:rPr>
          <w:lang w:val="es-ES"/>
        </w:rPr>
        <w:t>Isaac</w:t>
      </w:r>
      <w:r>
        <w:rPr>
          <w:lang w:val="es-ES"/>
        </w:rPr>
        <w:t xml:space="preserve">, N. &amp; </w:t>
      </w:r>
      <w:r w:rsidRPr="003B7F64">
        <w:rPr>
          <w:lang w:val="es-ES"/>
        </w:rPr>
        <w:t>Pearse</w:t>
      </w:r>
      <w:r>
        <w:rPr>
          <w:lang w:val="es-ES"/>
        </w:rPr>
        <w:t>, W</w:t>
      </w:r>
      <w:r w:rsidRPr="003B7F64">
        <w:rPr>
          <w:lang w:val="es-ES"/>
        </w:rPr>
        <w:t xml:space="preserve">. </w:t>
      </w:r>
      <w:r>
        <w:rPr>
          <w:lang w:val="es-ES"/>
        </w:rPr>
        <w:t>(</w:t>
      </w:r>
      <w:r w:rsidRPr="003B7F64">
        <w:rPr>
          <w:lang w:val="es-ES"/>
        </w:rPr>
        <w:t>2012</w:t>
      </w:r>
      <w:r>
        <w:rPr>
          <w:lang w:val="es-ES"/>
        </w:rPr>
        <w:t>)</w:t>
      </w:r>
      <w:r w:rsidRPr="003B7F64">
        <w:rPr>
          <w:lang w:val="es-ES"/>
        </w:rPr>
        <w:t xml:space="preserve">. Caper: comparative analyses of phylogenetics and evolution in R. </w:t>
      </w:r>
      <w:r>
        <w:rPr>
          <w:lang w:val="es-ES"/>
        </w:rPr>
        <w:t>Available at:</w:t>
      </w:r>
      <w:r w:rsidRPr="003B7F64">
        <w:rPr>
          <w:lang w:val="es-ES"/>
        </w:rPr>
        <w:t xml:space="preserve"> http://cran.r-project.org/package=caper</w:t>
      </w:r>
      <w:r>
        <w:rPr>
          <w:lang w:val="es-ES"/>
        </w:rPr>
        <w:t>.</w:t>
      </w:r>
    </w:p>
    <w:p w14:paraId="57D81837" w14:textId="77777777" w:rsidR="00E95F67" w:rsidRDefault="00E95F67" w:rsidP="00E95F67">
      <w:pPr>
        <w:spacing w:after="0"/>
        <w:ind w:left="720" w:hanging="720"/>
      </w:pPr>
      <w:r w:rsidRPr="009F0424">
        <w:t>Revell</w:t>
      </w:r>
      <w:r>
        <w:t>,</w:t>
      </w:r>
      <w:r w:rsidRPr="009F0424">
        <w:t xml:space="preserve"> L</w:t>
      </w:r>
      <w:r>
        <w:t>.</w:t>
      </w:r>
      <w:r w:rsidRPr="009F0424">
        <w:t>J</w:t>
      </w:r>
      <w:r>
        <w:t>.</w:t>
      </w:r>
      <w:r w:rsidRPr="009F0424">
        <w:t xml:space="preserve"> </w:t>
      </w:r>
      <w:r>
        <w:t>(</w:t>
      </w:r>
      <w:r w:rsidRPr="009F0424">
        <w:t>2010</w:t>
      </w:r>
      <w:r>
        <w:t>).</w:t>
      </w:r>
      <w:r w:rsidRPr="009F0424">
        <w:t xml:space="preserve"> Phylogenetic signal and linear regression on species data. </w:t>
      </w:r>
      <w:r w:rsidRPr="006160DD">
        <w:rPr>
          <w:i/>
        </w:rPr>
        <w:t>Methods Ecol</w:t>
      </w:r>
      <w:r>
        <w:rPr>
          <w:i/>
        </w:rPr>
        <w:t>.</w:t>
      </w:r>
      <w:r w:rsidRPr="006160DD">
        <w:rPr>
          <w:i/>
        </w:rPr>
        <w:t xml:space="preserve"> Evol</w:t>
      </w:r>
      <w:r>
        <w:rPr>
          <w:i/>
        </w:rPr>
        <w:t>.,</w:t>
      </w:r>
      <w:r>
        <w:t xml:space="preserve"> 1, </w:t>
      </w:r>
      <w:r w:rsidRPr="009F0424">
        <w:t>319–329.</w:t>
      </w:r>
    </w:p>
    <w:p w14:paraId="10C783EB" w14:textId="77777777" w:rsidR="00E95F67" w:rsidRDefault="00E95F67" w:rsidP="00E95F67">
      <w:pPr>
        <w:spacing w:after="0"/>
        <w:ind w:left="720" w:hanging="720"/>
      </w:pPr>
      <w:r>
        <w:t>Webb, C.O.</w:t>
      </w:r>
      <w:r w:rsidRPr="009F0424">
        <w:t>, Ackerly,</w:t>
      </w:r>
      <w:r>
        <w:t xml:space="preserve"> D.D. &amp; Kembel, S.W. (</w:t>
      </w:r>
      <w:r w:rsidRPr="009F0424">
        <w:t>2008</w:t>
      </w:r>
      <w:r>
        <w:t>).</w:t>
      </w:r>
      <w:r w:rsidRPr="009F0424">
        <w:t xml:space="preserve"> Phylocom: software for the analysis of phylogenetic community structure and trait</w:t>
      </w:r>
      <w:r>
        <w:t xml:space="preserve"> evolution. </w:t>
      </w:r>
      <w:r w:rsidRPr="00F24401">
        <w:rPr>
          <w:i/>
        </w:rPr>
        <w:t>Bioinformatics</w:t>
      </w:r>
      <w:r>
        <w:t xml:space="preserve">, 24, </w:t>
      </w:r>
      <w:r w:rsidRPr="009F0424">
        <w:t>2098-2100.</w:t>
      </w:r>
    </w:p>
    <w:p w14:paraId="5860C7E0" w14:textId="77777777" w:rsidR="00E95F67" w:rsidRPr="003F6985" w:rsidRDefault="00E95F67" w:rsidP="00E95F67">
      <w:pPr>
        <w:spacing w:after="0"/>
        <w:ind w:left="720" w:hanging="720"/>
        <w:rPr>
          <w:lang w:val="es-ES"/>
        </w:rPr>
      </w:pPr>
      <w:r>
        <w:t>Wikstrom, N.</w:t>
      </w:r>
      <w:r w:rsidRPr="009F0424">
        <w:t xml:space="preserve">, </w:t>
      </w:r>
      <w:r>
        <w:t>Savolainen, V. &amp; Chase, M.W. (2001).</w:t>
      </w:r>
      <w:r w:rsidRPr="009F0424">
        <w:t xml:space="preserve"> Evolution of angiosperms: Calibrating the family tree. </w:t>
      </w:r>
      <w:r>
        <w:rPr>
          <w:i/>
        </w:rPr>
        <w:t>Proc. R. Soc. B</w:t>
      </w:r>
      <w:r>
        <w:t xml:space="preserve">, 268, </w:t>
      </w:r>
      <w:r w:rsidRPr="009F0424">
        <w:t>2211</w:t>
      </w:r>
      <w:r>
        <w:t>—</w:t>
      </w:r>
      <w:r w:rsidRPr="009F0424">
        <w:t>2220</w:t>
      </w:r>
      <w:r>
        <w:t>.</w:t>
      </w:r>
    </w:p>
    <w:p w14:paraId="4D69369B" w14:textId="77777777" w:rsidR="00E95F67" w:rsidRPr="009F0424" w:rsidRDefault="00E95F67" w:rsidP="00E95F67">
      <w:pPr>
        <w:spacing w:after="0"/>
        <w:ind w:left="720" w:hanging="720"/>
      </w:pPr>
    </w:p>
    <w:p w14:paraId="7DED3998" w14:textId="77777777" w:rsidR="00E95F67" w:rsidRDefault="00E95F67" w:rsidP="00E95F67">
      <w:pPr>
        <w:spacing w:after="0"/>
        <w:ind w:left="720" w:hanging="720"/>
      </w:pPr>
    </w:p>
    <w:p w14:paraId="2BF4EFC3" w14:textId="77777777" w:rsidR="00E95F67" w:rsidRPr="009F0424" w:rsidRDefault="00E95F67" w:rsidP="00E95F67">
      <w:pPr>
        <w:spacing w:after="0"/>
        <w:ind w:left="720" w:hanging="720"/>
      </w:pPr>
    </w:p>
    <w:p w14:paraId="4FAFD778" w14:textId="77777777" w:rsidR="00E95F67" w:rsidRPr="004A1772" w:rsidRDefault="00E95F67" w:rsidP="004A1772">
      <w:pPr>
        <w:tabs>
          <w:tab w:val="left" w:pos="810"/>
          <w:tab w:val="left" w:pos="900"/>
        </w:tabs>
        <w:spacing w:after="0"/>
        <w:ind w:firstLine="720"/>
        <w:outlineLvl w:val="0"/>
        <w:rPr>
          <w:lang w:val="en-GB"/>
        </w:rPr>
      </w:pPr>
    </w:p>
    <w:p w14:paraId="320580AB" w14:textId="77777777" w:rsidR="004A1772" w:rsidRPr="00CC7706" w:rsidRDefault="004A1772" w:rsidP="00BE0B30">
      <w:pPr>
        <w:tabs>
          <w:tab w:val="left" w:pos="810"/>
          <w:tab w:val="left" w:pos="900"/>
        </w:tabs>
        <w:spacing w:after="0"/>
        <w:outlineLvl w:val="0"/>
        <w:rPr>
          <w:lang w:val="en-GB"/>
        </w:rPr>
      </w:pPr>
    </w:p>
    <w:sectPr w:rsidR="004A1772" w:rsidRPr="00CC7706" w:rsidSect="00CB5D4E">
      <w:footerReference w:type="even" r:id="rId8"/>
      <w:footerReference w:type="default" r:id="rId9"/>
      <w:pgSz w:w="12240" w:h="15840"/>
      <w:pgMar w:top="1411" w:right="1440" w:bottom="1411" w:left="1440" w:header="720" w:footer="720" w:gutter="0"/>
      <w:cols w:space="720"/>
      <w:printerSettings r:id="rId1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CEFCB3" w14:textId="77777777" w:rsidR="002729FD" w:rsidRDefault="002729FD" w:rsidP="002729FD">
      <w:pPr>
        <w:spacing w:after="0"/>
      </w:pPr>
      <w:r>
        <w:separator/>
      </w:r>
    </w:p>
  </w:endnote>
  <w:endnote w:type="continuationSeparator" w:id="0">
    <w:p w14:paraId="3DCFFC74" w14:textId="77777777" w:rsidR="002729FD" w:rsidRDefault="002729FD" w:rsidP="002729F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B71F39" w14:textId="77777777" w:rsidR="00AB4F02" w:rsidRDefault="00AB4F02" w:rsidP="00AB4F0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D35866D" w14:textId="77777777" w:rsidR="00AB4F02" w:rsidRDefault="00AB4F02" w:rsidP="00AB4F02">
    <w:pPr>
      <w:pStyle w:val="Piedepgin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C067B7" w14:textId="77777777" w:rsidR="00AB4F02" w:rsidRDefault="00AB4F02" w:rsidP="00AB4F02">
    <w:pPr>
      <w:pStyle w:val="Piedepgina"/>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DAF365" w14:textId="77777777" w:rsidR="002729FD" w:rsidRDefault="002729FD" w:rsidP="002729FD">
      <w:pPr>
        <w:spacing w:after="0"/>
      </w:pPr>
      <w:r>
        <w:separator/>
      </w:r>
    </w:p>
  </w:footnote>
  <w:footnote w:type="continuationSeparator" w:id="0">
    <w:p w14:paraId="67A356E0" w14:textId="77777777" w:rsidR="002729FD" w:rsidRDefault="002729FD" w:rsidP="002729FD">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50"/>
  <w:embedSystemFonts/>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B30"/>
    <w:rsid w:val="000048A1"/>
    <w:rsid w:val="00010222"/>
    <w:rsid w:val="000218E6"/>
    <w:rsid w:val="000605CB"/>
    <w:rsid w:val="000E40E7"/>
    <w:rsid w:val="002729FD"/>
    <w:rsid w:val="00453369"/>
    <w:rsid w:val="00487B52"/>
    <w:rsid w:val="004A1772"/>
    <w:rsid w:val="004A7FFB"/>
    <w:rsid w:val="006C4FEF"/>
    <w:rsid w:val="007B2084"/>
    <w:rsid w:val="007B23E2"/>
    <w:rsid w:val="008C3A4E"/>
    <w:rsid w:val="00967742"/>
    <w:rsid w:val="00AB4F02"/>
    <w:rsid w:val="00BE0B30"/>
    <w:rsid w:val="00CB5D4E"/>
    <w:rsid w:val="00CC7706"/>
    <w:rsid w:val="00DE24DA"/>
    <w:rsid w:val="00DF5591"/>
    <w:rsid w:val="00DF6C3B"/>
    <w:rsid w:val="00E03EE9"/>
    <w:rsid w:val="00E20821"/>
    <w:rsid w:val="00E95F67"/>
    <w:rsid w:val="00EA28E9"/>
    <w:rsid w:val="00EC37CE"/>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46FA8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B30"/>
    <w:rPr>
      <w:rFonts w:ascii="Times" w:hAnsi="Time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BE0B30"/>
    <w:pPr>
      <w:tabs>
        <w:tab w:val="center" w:pos="4419"/>
        <w:tab w:val="right" w:pos="8838"/>
      </w:tabs>
      <w:spacing w:after="0"/>
    </w:pPr>
  </w:style>
  <w:style w:type="character" w:customStyle="1" w:styleId="PiedepginaCar">
    <w:name w:val="Pie de página Car"/>
    <w:basedOn w:val="Fuentedeprrafopredeter"/>
    <w:link w:val="Piedepgina"/>
    <w:uiPriority w:val="99"/>
    <w:rsid w:val="00BE0B30"/>
    <w:rPr>
      <w:rFonts w:ascii="Times" w:hAnsi="Times"/>
      <w:sz w:val="24"/>
      <w:szCs w:val="24"/>
    </w:rPr>
  </w:style>
  <w:style w:type="character" w:styleId="Nmerodepgina">
    <w:name w:val="page number"/>
    <w:basedOn w:val="Fuentedeprrafopredeter"/>
    <w:uiPriority w:val="99"/>
    <w:semiHidden/>
    <w:unhideWhenUsed/>
    <w:rsid w:val="00BE0B30"/>
  </w:style>
  <w:style w:type="paragraph" w:styleId="Textodeglobo">
    <w:name w:val="Balloon Text"/>
    <w:basedOn w:val="Normal"/>
    <w:link w:val="TextodegloboCar"/>
    <w:uiPriority w:val="99"/>
    <w:semiHidden/>
    <w:unhideWhenUsed/>
    <w:rsid w:val="00CC7706"/>
    <w:pPr>
      <w:spacing w:after="0"/>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CC7706"/>
    <w:rPr>
      <w:rFonts w:ascii="Lucida Grande" w:hAnsi="Lucida Grande" w:cs="Lucida Grande"/>
      <w:sz w:val="18"/>
      <w:szCs w:val="18"/>
    </w:rPr>
  </w:style>
  <w:style w:type="paragraph" w:styleId="Encabezado">
    <w:name w:val="header"/>
    <w:basedOn w:val="Normal"/>
    <w:link w:val="EncabezadoCar"/>
    <w:uiPriority w:val="99"/>
    <w:unhideWhenUsed/>
    <w:rsid w:val="002729FD"/>
    <w:pPr>
      <w:tabs>
        <w:tab w:val="center" w:pos="4419"/>
        <w:tab w:val="right" w:pos="8838"/>
      </w:tabs>
      <w:spacing w:after="0"/>
    </w:pPr>
  </w:style>
  <w:style w:type="character" w:customStyle="1" w:styleId="EncabezadoCar">
    <w:name w:val="Encabezado Car"/>
    <w:basedOn w:val="Fuentedeprrafopredeter"/>
    <w:link w:val="Encabezado"/>
    <w:uiPriority w:val="99"/>
    <w:rsid w:val="002729FD"/>
    <w:rPr>
      <w:rFonts w:ascii="Times" w:hAnsi="Times"/>
      <w:sz w:val="24"/>
      <w:szCs w:val="24"/>
    </w:rPr>
  </w:style>
  <w:style w:type="paragraph" w:styleId="Textocomentario">
    <w:name w:val="annotation text"/>
    <w:basedOn w:val="Normal"/>
    <w:link w:val="TextocomentarioCar"/>
    <w:uiPriority w:val="99"/>
    <w:unhideWhenUsed/>
    <w:rsid w:val="004A1772"/>
  </w:style>
  <w:style w:type="character" w:customStyle="1" w:styleId="TextocomentarioCar">
    <w:name w:val="Texto comentario Car"/>
    <w:basedOn w:val="Fuentedeprrafopredeter"/>
    <w:link w:val="Textocomentario"/>
    <w:uiPriority w:val="99"/>
    <w:rsid w:val="004A1772"/>
    <w:rPr>
      <w:rFonts w:ascii="Times" w:hAnsi="Times"/>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B30"/>
    <w:rPr>
      <w:rFonts w:ascii="Times" w:hAnsi="Time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BE0B30"/>
    <w:pPr>
      <w:tabs>
        <w:tab w:val="center" w:pos="4419"/>
        <w:tab w:val="right" w:pos="8838"/>
      </w:tabs>
      <w:spacing w:after="0"/>
    </w:pPr>
  </w:style>
  <w:style w:type="character" w:customStyle="1" w:styleId="PiedepginaCar">
    <w:name w:val="Pie de página Car"/>
    <w:basedOn w:val="Fuentedeprrafopredeter"/>
    <w:link w:val="Piedepgina"/>
    <w:uiPriority w:val="99"/>
    <w:rsid w:val="00BE0B30"/>
    <w:rPr>
      <w:rFonts w:ascii="Times" w:hAnsi="Times"/>
      <w:sz w:val="24"/>
      <w:szCs w:val="24"/>
    </w:rPr>
  </w:style>
  <w:style w:type="character" w:styleId="Nmerodepgina">
    <w:name w:val="page number"/>
    <w:basedOn w:val="Fuentedeprrafopredeter"/>
    <w:uiPriority w:val="99"/>
    <w:semiHidden/>
    <w:unhideWhenUsed/>
    <w:rsid w:val="00BE0B30"/>
  </w:style>
  <w:style w:type="paragraph" w:styleId="Textodeglobo">
    <w:name w:val="Balloon Text"/>
    <w:basedOn w:val="Normal"/>
    <w:link w:val="TextodegloboCar"/>
    <w:uiPriority w:val="99"/>
    <w:semiHidden/>
    <w:unhideWhenUsed/>
    <w:rsid w:val="00CC7706"/>
    <w:pPr>
      <w:spacing w:after="0"/>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CC7706"/>
    <w:rPr>
      <w:rFonts w:ascii="Lucida Grande" w:hAnsi="Lucida Grande" w:cs="Lucida Grande"/>
      <w:sz w:val="18"/>
      <w:szCs w:val="18"/>
    </w:rPr>
  </w:style>
  <w:style w:type="paragraph" w:styleId="Encabezado">
    <w:name w:val="header"/>
    <w:basedOn w:val="Normal"/>
    <w:link w:val="EncabezadoCar"/>
    <w:uiPriority w:val="99"/>
    <w:unhideWhenUsed/>
    <w:rsid w:val="002729FD"/>
    <w:pPr>
      <w:tabs>
        <w:tab w:val="center" w:pos="4419"/>
        <w:tab w:val="right" w:pos="8838"/>
      </w:tabs>
      <w:spacing w:after="0"/>
    </w:pPr>
  </w:style>
  <w:style w:type="character" w:customStyle="1" w:styleId="EncabezadoCar">
    <w:name w:val="Encabezado Car"/>
    <w:basedOn w:val="Fuentedeprrafopredeter"/>
    <w:link w:val="Encabezado"/>
    <w:uiPriority w:val="99"/>
    <w:rsid w:val="002729FD"/>
    <w:rPr>
      <w:rFonts w:ascii="Times" w:hAnsi="Times"/>
      <w:sz w:val="24"/>
      <w:szCs w:val="24"/>
    </w:rPr>
  </w:style>
  <w:style w:type="paragraph" w:styleId="Textocomentario">
    <w:name w:val="annotation text"/>
    <w:basedOn w:val="Normal"/>
    <w:link w:val="TextocomentarioCar"/>
    <w:uiPriority w:val="99"/>
    <w:unhideWhenUsed/>
    <w:rsid w:val="004A1772"/>
  </w:style>
  <w:style w:type="character" w:customStyle="1" w:styleId="TextocomentarioCar">
    <w:name w:val="Texto comentario Car"/>
    <w:basedOn w:val="Fuentedeprrafopredeter"/>
    <w:link w:val="Textocomentario"/>
    <w:uiPriority w:val="99"/>
    <w:rsid w:val="004A1772"/>
    <w:rPr>
      <w:rFonts w:ascii="Times" w:hAns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printerSettings" Target="printerSettings/printerSettings1.bin"/></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854</Words>
  <Characters>4699</Characters>
  <Application>Microsoft Macintosh Word</Application>
  <DocSecurity>0</DocSecurity>
  <Lines>39</Lines>
  <Paragraphs>11</Paragraphs>
  <ScaleCrop>false</ScaleCrop>
  <Company/>
  <LinksUpToDate>false</LinksUpToDate>
  <CharactersWithSpaces>5542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Camote</dc:creator>
  <cp:keywords/>
  <dc:description/>
  <cp:lastModifiedBy>A.  Camote</cp:lastModifiedBy>
  <cp:revision>9</cp:revision>
  <dcterms:created xsi:type="dcterms:W3CDTF">2014-03-25T15:40:00Z</dcterms:created>
  <dcterms:modified xsi:type="dcterms:W3CDTF">2014-05-02T16:57:00Z</dcterms:modified>
</cp:coreProperties>
</file>